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34" w:rsidRDefault="009E2734" w:rsidP="008E30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городского поселения город Баймак</w:t>
      </w:r>
    </w:p>
    <w:p w:rsidR="009E2734" w:rsidRPr="009E2734" w:rsidRDefault="00A4438C"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«____»___________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bCs/>
          <w:sz w:val="28"/>
          <w:szCs w:val="28"/>
          <w:lang w:eastAsia="ru-RU"/>
        </w:rPr>
        <w:t xml:space="preserve">городском поселении город Баймак муниципального района </w:t>
      </w:r>
      <w:proofErr w:type="spellStart"/>
      <w:r>
        <w:rPr>
          <w:rFonts w:ascii="Times New Roman" w:eastAsia="Times New Roman" w:hAnsi="Times New Roman" w:cs="Times New Roman"/>
          <w:b/>
          <w:bCs/>
          <w:sz w:val="28"/>
          <w:szCs w:val="28"/>
          <w:lang w:eastAsia="ru-RU"/>
        </w:rPr>
        <w:t>Баймакский</w:t>
      </w:r>
      <w:proofErr w:type="spellEnd"/>
      <w:r>
        <w:rPr>
          <w:rFonts w:ascii="Times New Roman" w:eastAsia="Times New Roman" w:hAnsi="Times New Roman" w:cs="Times New Roman"/>
          <w:b/>
          <w:bCs/>
          <w:sz w:val="28"/>
          <w:szCs w:val="28"/>
          <w:lang w:eastAsia="ru-RU"/>
        </w:rPr>
        <w:t xml:space="preserve"> район Республики Башкортостан</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rFonts w:ascii="Times New Roman" w:eastAsia="Times New Roman" w:hAnsi="Times New Roman" w:cs="Times New Roman"/>
          <w:sz w:val="28"/>
          <w:szCs w:val="28"/>
          <w:lang w:eastAsia="ru-RU"/>
        </w:rPr>
        <w:t xml:space="preserve">очий </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Cs w:val="28"/>
          <w:lang w:eastAsia="ru-RU"/>
        </w:rPr>
        <w:t xml:space="preserve"> </w:t>
      </w:r>
      <w:r>
        <w:rPr>
          <w:rFonts w:ascii="Times New Roman" w:eastAsia="Times New Roman" w:hAnsi="Times New Roman" w:cs="Times New Roman"/>
          <w:bCs/>
          <w:sz w:val="28"/>
          <w:szCs w:val="28"/>
          <w:lang w:eastAsia="ru-RU"/>
        </w:rPr>
        <w:t>городского поселения</w:t>
      </w:r>
      <w:r w:rsidRPr="009E2734">
        <w:rPr>
          <w:rFonts w:ascii="Times New Roman" w:eastAsia="Times New Roman" w:hAnsi="Times New Roman" w:cs="Times New Roman"/>
          <w:bCs/>
          <w:sz w:val="28"/>
          <w:szCs w:val="28"/>
          <w:lang w:eastAsia="ru-RU"/>
        </w:rPr>
        <w:t xml:space="preserve"> город Баймак муниципального района </w:t>
      </w:r>
      <w:proofErr w:type="spellStart"/>
      <w:r w:rsidRPr="009E2734">
        <w:rPr>
          <w:rFonts w:ascii="Times New Roman" w:eastAsia="Times New Roman" w:hAnsi="Times New Roman" w:cs="Times New Roman"/>
          <w:bCs/>
          <w:sz w:val="28"/>
          <w:szCs w:val="28"/>
          <w:lang w:eastAsia="ru-RU"/>
        </w:rPr>
        <w:t>Баймакский</w:t>
      </w:r>
      <w:proofErr w:type="spellEnd"/>
      <w:r w:rsidRPr="009E2734">
        <w:rPr>
          <w:rFonts w:ascii="Times New Roman" w:eastAsia="Times New Roman" w:hAnsi="Times New Roman" w:cs="Times New Roman"/>
          <w:bCs/>
          <w:sz w:val="28"/>
          <w:szCs w:val="28"/>
          <w:lang w:eastAsia="ru-RU"/>
        </w:rPr>
        <w:t xml:space="preserve"> район Республики</w:t>
      </w:r>
      <w:proofErr w:type="gramEnd"/>
      <w:r w:rsidRPr="009E2734">
        <w:rPr>
          <w:rFonts w:ascii="Times New Roman" w:eastAsia="Times New Roman" w:hAnsi="Times New Roman" w:cs="Times New Roman"/>
          <w:bCs/>
          <w:sz w:val="28"/>
          <w:szCs w:val="28"/>
          <w:lang w:eastAsia="ru-RU"/>
        </w:rPr>
        <w:t xml:space="preserve">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rFonts w:ascii="Times New Roman" w:eastAsia="Times New Roman" w:hAnsi="Times New Roman" w:cs="Times New Roman"/>
          <w:sz w:val="28"/>
          <w:szCs w:val="28"/>
          <w:lang w:eastAsia="ru-RU"/>
        </w:rPr>
        <w:t>городского поселения</w:t>
      </w: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8"/>
          <w:szCs w:val="28"/>
          <w:lang w:eastAsia="ru-RU"/>
        </w:rPr>
        <w:t xml:space="preserve">(далее - Заявитель).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1.3. </w:t>
      </w:r>
      <w:r w:rsidRPr="009E273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Республика Башкортостан, г. Баймак, ул. М. Горького, д. 26</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9E2734"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Контактные телефоны: 2-21-93</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электронной почты: admgpbaimak@mail.ru</w:t>
      </w:r>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proofErr w:type="spellStart"/>
      <w:r w:rsidRPr="009E2734">
        <w:rPr>
          <w:rFonts w:ascii="Times New Roman" w:eastAsia="Times New Roman" w:hAnsi="Times New Roman" w:cs="Times New Roman"/>
          <w:sz w:val="28"/>
          <w:szCs w:val="28"/>
          <w:lang w:val="en-US" w:eastAsia="ru-RU"/>
        </w:rPr>
        <w:t>gpbaimak</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ucoz</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ru</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proofErr w:type="spellStart"/>
      <w:r w:rsidRPr="009E2734">
        <w:rPr>
          <w:rFonts w:ascii="Times New Roman" w:eastAsia="Times New Roman" w:hAnsi="Times New Roman" w:cs="Times New Roman"/>
          <w:sz w:val="28"/>
          <w:szCs w:val="28"/>
          <w:lang w:val="en-US" w:eastAsia="ru-RU"/>
        </w:rPr>
        <w:t>gpbaimak</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ucoz</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ru</w:t>
      </w:r>
      <w:proofErr w:type="spellEnd"/>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9E2734">
        <w:rPr>
          <w:rFonts w:ascii="Times New Roman" w:eastAsia="Times New Roman" w:hAnsi="Times New Roman" w:cs="Times New Roman"/>
          <w:sz w:val="28"/>
          <w:szCs w:val="28"/>
          <w:lang w:eastAsia="ru-RU"/>
        </w:rPr>
        <w:t>обратившихся</w:t>
      </w:r>
      <w:proofErr w:type="gramEnd"/>
      <w:r w:rsidRPr="009E2734">
        <w:rPr>
          <w:rFonts w:ascii="Times New Roman" w:eastAsia="Times New Roman" w:hAnsi="Times New Roman" w:cs="Times New Roman"/>
          <w:sz w:val="28"/>
          <w:szCs w:val="28"/>
          <w:lang w:eastAsia="ru-RU"/>
        </w:rPr>
        <w:t xml:space="preserve">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E2734">
        <w:rPr>
          <w:rFonts w:ascii="Times New Roman" w:eastAsia="Times New Roman" w:hAnsi="Times New Roman" w:cs="Times New Roman"/>
          <w:sz w:val="28"/>
          <w:szCs w:val="24"/>
          <w:lang w:eastAsia="ru-RU"/>
        </w:rPr>
        <w:t>кст пр</w:t>
      </w:r>
      <w:proofErr w:type="gramEnd"/>
      <w:r w:rsidRPr="009E2734">
        <w:rPr>
          <w:rFonts w:ascii="Times New Roman" w:eastAsia="Times New Roman" w:hAnsi="Times New Roman" w:cs="Times New Roman"/>
          <w:sz w:val="28"/>
          <w:szCs w:val="24"/>
          <w:lang w:eastAsia="ru-RU"/>
        </w:rPr>
        <w:t>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9E2734">
        <w:rPr>
          <w:rFonts w:ascii="Times New Roman" w:eastAsia="Times New Roman" w:hAnsi="Times New Roman" w:cs="Times New Roman"/>
          <w:sz w:val="28"/>
          <w:szCs w:val="24"/>
          <w:lang w:eastAsia="ru-RU"/>
        </w:rPr>
        <w:lastRenderedPageBreak/>
        <w:t>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сведения о </w:t>
      </w:r>
      <w:proofErr w:type="spellStart"/>
      <w:r w:rsidRPr="009E2734">
        <w:rPr>
          <w:rFonts w:ascii="Times New Roman" w:eastAsia="Times New Roman" w:hAnsi="Times New Roman" w:cs="Times New Roman"/>
          <w:sz w:val="28"/>
          <w:szCs w:val="24"/>
          <w:lang w:eastAsia="ru-RU"/>
        </w:rPr>
        <w:t>возмездности</w:t>
      </w:r>
      <w:proofErr w:type="spellEnd"/>
      <w:r w:rsidRPr="009E2734">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proofErr w:type="gramStart"/>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9E2734">
        <w:rPr>
          <w:rFonts w:ascii="Times New Roman" w:eastAsia="Times New Roman" w:hAnsi="Times New Roman" w:cs="Times New Roman"/>
          <w:sz w:val="28"/>
          <w:szCs w:val="28"/>
          <w:lang w:eastAsia="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w:t>
      </w:r>
      <w:proofErr w:type="gramStart"/>
      <w:r w:rsidRPr="009E2734">
        <w:rPr>
          <w:rFonts w:ascii="Times New Roman" w:eastAsia="Times New Roman" w:hAnsi="Times New Roman" w:cs="Times New Roman"/>
          <w:sz w:val="28"/>
          <w:szCs w:val="28"/>
          <w:lang w:eastAsia="ru-RU"/>
        </w:rPr>
        <w:t xml:space="preserve"> ,</w:t>
      </w:r>
      <w:proofErr w:type="gramEnd"/>
      <w:r w:rsidRPr="009E2734">
        <w:rPr>
          <w:rFonts w:ascii="Times New Roman" w:eastAsia="Times New Roman" w:hAnsi="Times New Roman" w:cs="Times New Roman"/>
          <w:sz w:val="28"/>
          <w:szCs w:val="28"/>
          <w:lang w:eastAsia="ru-RU"/>
        </w:rPr>
        <w:t xml:space="preserve">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roofErr w:type="gramStart"/>
      <w:r w:rsidRPr="009E2734">
        <w:rPr>
          <w:rFonts w:ascii="Times New Roman" w:eastAsia="Times New Roman" w:hAnsi="Times New Roman" w:cs="Times New Roman"/>
          <w:sz w:val="28"/>
          <w:szCs w:val="28"/>
          <w:lang w:eastAsia="ru-RU"/>
        </w:rPr>
        <w:t xml:space="preserve"> ;</w:t>
      </w:r>
      <w:proofErr w:type="gramEnd"/>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9E2734" w:rsidRPr="009E2734" w:rsidRDefault="009E2734" w:rsidP="009E2734">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C77759">
        <w:rPr>
          <w:rFonts w:ascii="Times New Roman" w:eastAsia="Calibri" w:hAnsi="Times New Roman" w:cs="Times New Roman"/>
          <w:sz w:val="28"/>
          <w:szCs w:val="28"/>
          <w:lang w:eastAsia="ru-RU"/>
        </w:rPr>
        <w:t xml:space="preserve">городского поселения город Баймак муниципального района </w:t>
      </w:r>
      <w:proofErr w:type="spellStart"/>
      <w:r w:rsidR="00C77759">
        <w:rPr>
          <w:rFonts w:ascii="Times New Roman" w:eastAsia="Calibri" w:hAnsi="Times New Roman" w:cs="Times New Roman"/>
          <w:sz w:val="28"/>
          <w:szCs w:val="28"/>
          <w:lang w:eastAsia="ru-RU"/>
        </w:rPr>
        <w:t>Баймакский</w:t>
      </w:r>
      <w:proofErr w:type="spellEnd"/>
      <w:r w:rsidR="00C77759">
        <w:rPr>
          <w:rFonts w:ascii="Times New Roman" w:eastAsia="Calibri" w:hAnsi="Times New Roman" w:cs="Times New Roman"/>
          <w:sz w:val="28"/>
          <w:szCs w:val="28"/>
          <w:lang w:eastAsia="ru-RU"/>
        </w:rPr>
        <w:t xml:space="preserve">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w:t>
      </w:r>
      <w:proofErr w:type="gramStart"/>
      <w:r w:rsidRPr="009E2734">
        <w:rPr>
          <w:rFonts w:ascii="Times New Roman" w:eastAsia="Times New Roman" w:hAnsi="Times New Roman" w:cs="Times New Roman"/>
          <w:sz w:val="28"/>
          <w:szCs w:val="24"/>
          <w:lang w:eastAsia="ru-RU"/>
        </w:rPr>
        <w:t>с</w:t>
      </w:r>
      <w:proofErr w:type="gramEnd"/>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w:t>
      </w:r>
      <w:proofErr w:type="spellStart"/>
      <w:r w:rsidRPr="009E2734">
        <w:rPr>
          <w:rFonts w:ascii="Times New Roman" w:eastAsia="Times New Roman" w:hAnsi="Times New Roman" w:cs="Times New Roman"/>
          <w:sz w:val="28"/>
          <w:szCs w:val="24"/>
          <w:lang w:eastAsia="ru-RU"/>
        </w:rPr>
        <w:t>Росреестр</w:t>
      </w:r>
      <w:proofErr w:type="spellEnd"/>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w:t>
      </w:r>
      <w:proofErr w:type="spellStart"/>
      <w:r w:rsidRPr="009E2734">
        <w:rPr>
          <w:rFonts w:ascii="Times New Roman" w:eastAsia="Times New Roman" w:hAnsi="Times New Roman" w:cs="Times New Roman"/>
          <w:sz w:val="28"/>
          <w:szCs w:val="24"/>
          <w:lang w:eastAsia="ru-RU"/>
        </w:rPr>
        <w:t>Ростехинвентаризация</w:t>
      </w:r>
      <w:proofErr w:type="spellEnd"/>
      <w:r w:rsidRPr="009E2734">
        <w:rPr>
          <w:rFonts w:ascii="Times New Roman" w:eastAsia="Times New Roman" w:hAnsi="Times New Roman" w:cs="Times New Roman"/>
          <w:sz w:val="28"/>
          <w:szCs w:val="24"/>
          <w:lang w:eastAsia="ru-RU"/>
        </w:rPr>
        <w:t xml:space="preserve">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w:t>
      </w:r>
      <w:r w:rsidRPr="009E2734">
        <w:rPr>
          <w:rFonts w:ascii="Times New Roman" w:eastAsia="Times New Roman" w:hAnsi="Times New Roman" w:cs="Times New Roman"/>
          <w:sz w:val="28"/>
          <w:szCs w:val="24"/>
          <w:lang w:eastAsia="ru-RU"/>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9E2734">
        <w:rPr>
          <w:rFonts w:ascii="Times New Roman" w:eastAsia="Times New Roman" w:hAnsi="Times New Roman" w:cs="Times New Roman"/>
          <w:sz w:val="28"/>
          <w:szCs w:val="28"/>
          <w:lang w:eastAsia="ru-RU"/>
        </w:rPr>
        <w:t xml:space="preserve">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2.6. </w:t>
      </w:r>
      <w:proofErr w:type="gramStart"/>
      <w:r w:rsidRPr="009E2734">
        <w:rPr>
          <w:rFonts w:ascii="Times New Roman" w:eastAsia="Times New Roman" w:hAnsi="Times New Roman" w:cs="Times New Roman"/>
          <w:sz w:val="28"/>
          <w:szCs w:val="28"/>
          <w:lang w:eastAsia="ru-RU"/>
        </w:rPr>
        <w:t>Срок принятия решения о переводе или об отказе в переводе помещения исчисляется со дня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9E2734">
        <w:rPr>
          <w:rFonts w:ascii="Times New Roman" w:eastAsia="Times New Roman" w:hAnsi="Times New Roman" w:cs="Times New Roman"/>
          <w:sz w:val="28"/>
          <w:szCs w:val="28"/>
          <w:lang w:eastAsia="ru-RU"/>
        </w:rPr>
        <w:t xml:space="preserve"> с использованием РПГУ, и не должен превышать 45 (сорок пять) дней.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w:t>
      </w:r>
      <w:r w:rsidRPr="009E2734">
        <w:rPr>
          <w:rFonts w:ascii="Times New Roman" w:eastAsia="Times New Roman" w:hAnsi="Times New Roman" w:cs="Times New Roman"/>
          <w:sz w:val="28"/>
          <w:szCs w:val="28"/>
          <w:lang w:eastAsia="ru-RU"/>
        </w:rPr>
        <w:lastRenderedPageBreak/>
        <w:t>многофункциональным центром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sidR="003A1E7F">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страции</w:t>
      </w:r>
      <w:proofErr w:type="gramStart"/>
      <w:r w:rsidR="003A1E7F">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2.8.1. </w:t>
      </w:r>
      <w:r w:rsidRPr="009E2734">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следующими способами:</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003A1E7F">
        <w:rPr>
          <w:rFonts w:ascii="Times New Roman" w:eastAsia="Times New Roman" w:hAnsi="Times New Roman" w:cs="Times New Roman"/>
          <w:sz w:val="28"/>
          <w:szCs w:val="28"/>
          <w:lang w:eastAsia="ru-RU"/>
        </w:rPr>
        <w:t>Администрацию</w:t>
      </w:r>
      <w:r w:rsidRPr="009E273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2) путем заполнения формы запроса через «Личный кабинет» РПГУ (далее – отправление в электронной форме).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003A1E7F">
        <w:rPr>
          <w:rFonts w:ascii="Times New Roman" w:eastAsia="Times New Roman" w:hAnsi="Times New Roman" w:cs="Times New Roman"/>
          <w:sz w:val="28"/>
          <w:szCs w:val="28"/>
          <w:lang w:eastAsia="ru-RU"/>
        </w:rPr>
        <w:t>Администрации</w:t>
      </w:r>
      <w:proofErr w:type="gramStart"/>
      <w:r w:rsidR="003A1E7F">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3A1E7F">
        <w:rPr>
          <w:rFonts w:ascii="Times New Roman" w:eastAsia="Times New Roman" w:hAnsi="Times New Roman" w:cs="Times New Roman"/>
          <w:sz w:val="28"/>
          <w:szCs w:val="28"/>
          <w:lang w:eastAsia="ru-RU"/>
        </w:rPr>
        <w:t>страции</w:t>
      </w:r>
      <w:proofErr w:type="gramStart"/>
      <w:r w:rsidR="003A1E7F">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принимающим заявление, и приобщается к поданному заявлению.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 xml:space="preserve">2.8.3. </w:t>
      </w:r>
      <w:r w:rsidRPr="009E2734">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roofErr w:type="gramStart"/>
      <w:r w:rsidRPr="009E2734">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Pr="009E2734">
        <w:rPr>
          <w:rFonts w:ascii="Times New Roman" w:eastAsia="Times New Roman" w:hAnsi="Times New Roman" w:cs="Times New Roman"/>
          <w:b/>
          <w:bCs/>
          <w:sz w:val="28"/>
          <w:szCs w:val="28"/>
          <w:lang w:eastAsia="ru-RU"/>
        </w:rPr>
        <w:lastRenderedPageBreak/>
        <w:t>форме, порядок их представления</w:t>
      </w:r>
      <w:proofErr w:type="gramEnd"/>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2.11. </w:t>
      </w:r>
      <w:r w:rsidRPr="009E2734">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2.11.2. </w:t>
      </w:r>
      <w:proofErr w:type="gramStart"/>
      <w:r w:rsidRPr="009E2734">
        <w:rPr>
          <w:rFonts w:ascii="Times New Roman" w:eastAsia="Times New Roman" w:hAnsi="Times New Roman" w:cs="Times New Roman"/>
          <w:sz w:val="28"/>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E2734">
        <w:rPr>
          <w:rFonts w:ascii="Times New Roman" w:eastAsia="Times New Roman" w:hAnsi="Times New Roman" w:cs="Times New Roman"/>
          <w:sz w:val="28"/>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Times New Roman" w:hAnsi="Times New Roman" w:cs="Times New Roman"/>
          <w:sz w:val="28"/>
          <w:szCs w:val="20"/>
          <w:lang w:eastAsia="ru-RU"/>
        </w:rPr>
        <w:t xml:space="preserve">2.11.3. </w:t>
      </w:r>
      <w:r w:rsidRPr="009E273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9E2734">
        <w:rPr>
          <w:rFonts w:ascii="Times New Roman" w:eastAsia="Calibri"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3A1E7F">
        <w:rPr>
          <w:rFonts w:ascii="Times New Roman" w:eastAsia="Times New Roman" w:hAnsi="Times New Roman" w:cs="Times New Roman"/>
          <w:sz w:val="28"/>
          <w:szCs w:val="28"/>
          <w:lang w:eastAsia="ru-RU"/>
        </w:rPr>
        <w:t>трации</w:t>
      </w:r>
      <w:r w:rsidRPr="009E2734">
        <w:rPr>
          <w:rFonts w:ascii="Times New Roman" w:eastAsia="Times New Roman" w:hAnsi="Times New Roman" w:cs="Times New Roman"/>
          <w:sz w:val="28"/>
          <w:szCs w:val="28"/>
          <w:lang w:eastAsia="ru-RU"/>
        </w:rPr>
        <w:t>, руководителя многофункционального центра при первоначальном</w:t>
      </w:r>
      <w:proofErr w:type="gram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отказе</w:t>
      </w:r>
      <w:proofErr w:type="gramEnd"/>
      <w:r w:rsidRPr="009E2734">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2.12. </w:t>
      </w:r>
      <w:r w:rsidRPr="009E2734">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w:t>
      </w:r>
      <w:proofErr w:type="gramStart"/>
      <w:r w:rsidRPr="009E2734">
        <w:rPr>
          <w:rFonts w:ascii="Times New Roman" w:eastAsia="Calibri" w:hAnsi="Times New Roman" w:cs="Times New Roman"/>
          <w:sz w:val="28"/>
          <w:szCs w:val="24"/>
          <w:lang w:eastAsia="ru-RU"/>
        </w:rPr>
        <w:t>ии и ау</w:t>
      </w:r>
      <w:proofErr w:type="gramEnd"/>
      <w:r w:rsidRPr="009E2734">
        <w:rPr>
          <w:rFonts w:ascii="Times New Roman" w:eastAsia="Calibri" w:hAnsi="Times New Roman" w:cs="Times New Roman"/>
          <w:sz w:val="28"/>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9E2734">
        <w:rPr>
          <w:rFonts w:ascii="Times New Roman" w:eastAsia="Times New Roman" w:hAnsi="Times New Roman" w:cs="Times New Roman"/>
          <w:sz w:val="28"/>
          <w:szCs w:val="28"/>
          <w:lang w:eastAsia="ru-RU"/>
        </w:rPr>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поступление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rFonts w:ascii="Times New Roman" w:eastAsia="Times New Roman" w:hAnsi="Times New Roman" w:cs="Times New Roman"/>
          <w:sz w:val="28"/>
          <w:szCs w:val="24"/>
          <w:lang w:eastAsia="ru-RU"/>
        </w:rPr>
        <w:t xml:space="preserve">2.9 </w:t>
      </w:r>
      <w:r w:rsidRPr="009E2734">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w:t>
      </w:r>
      <w:proofErr w:type="gram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w:t>
      </w:r>
      <w:r w:rsidRPr="009E2734">
        <w:rPr>
          <w:rFonts w:ascii="Times New Roman" w:eastAsia="Times New Roman" w:hAnsi="Times New Roman" w:cs="Times New Roman"/>
          <w:sz w:val="28"/>
          <w:szCs w:val="28"/>
          <w:lang w:eastAsia="ru-RU"/>
        </w:rPr>
        <w:lastRenderedPageBreak/>
        <w:t>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9E2734">
        <w:rPr>
          <w:rFonts w:ascii="Times New Roman" w:eastAsia="Times New Roman" w:hAnsi="Times New Roman" w:cs="Times New Roman"/>
          <w:sz w:val="28"/>
          <w:szCs w:val="28"/>
          <w:lang w:eastAsia="ru-RU"/>
        </w:rPr>
        <w:t xml:space="preserve"> документ и (или) информацию в течение пятнадцати рабочих дней со дня направления уведомления;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представление документов в ненадлежащий орган;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2734">
        <w:rPr>
          <w:rFonts w:ascii="Times New Roman" w:eastAsia="Calibri" w:hAnsi="Times New Roman" w:cs="Times New Roman"/>
          <w:sz w:val="28"/>
          <w:szCs w:val="28"/>
          <w:lang w:eastAsia="ru-RU"/>
        </w:rPr>
        <w:t>2.17.</w:t>
      </w:r>
      <w:r w:rsidRPr="009E2734">
        <w:rPr>
          <w:rFonts w:ascii="Times New Roman" w:eastAsia="Calibri" w:hAnsi="Times New Roman" w:cs="Times New Roman"/>
          <w:b/>
          <w:sz w:val="28"/>
          <w:szCs w:val="28"/>
          <w:lang w:eastAsia="ru-RU"/>
        </w:rPr>
        <w:t xml:space="preserve"> </w:t>
      </w:r>
      <w:proofErr w:type="gramStart"/>
      <w:r w:rsidRPr="009E2734">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4"/>
          <w:lang w:eastAsia="ru-RU"/>
        </w:rPr>
        <w:t xml:space="preserve">2.19. </w:t>
      </w:r>
      <w:r w:rsidRPr="009E2734">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rFonts w:ascii="Times New Roman" w:eastAsia="Times New Roman" w:hAnsi="Times New Roman" w:cs="Times New Roman"/>
          <w:bCs/>
          <w:sz w:val="28"/>
          <w:szCs w:val="24"/>
          <w:lang w:eastAsia="ru-RU"/>
        </w:rPr>
        <w:t>.</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lastRenderedPageBreak/>
        <w:t xml:space="preserve">2.20. </w:t>
      </w:r>
      <w:r w:rsidRPr="009E2734">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w:t>
      </w:r>
      <w:r w:rsidR="003A1E7F">
        <w:rPr>
          <w:rFonts w:ascii="Times New Roman" w:eastAsia="Times New Roman" w:hAnsi="Times New Roman" w:cs="Times New Roman"/>
          <w:sz w:val="28"/>
          <w:szCs w:val="24"/>
          <w:lang w:eastAsia="ru-RU"/>
        </w:rPr>
        <w:t>трацией</w:t>
      </w:r>
      <w:proofErr w:type="gramStart"/>
      <w:r w:rsidR="003A1E7F">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подлежат регистрации в течение 1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w:t>
      </w:r>
      <w:proofErr w:type="gramStart"/>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E2734">
        <w:rPr>
          <w:rFonts w:ascii="Times New Roman" w:eastAsia="Times New Roman" w:hAnsi="Times New Roman" w:cs="Times New Roman"/>
          <w:sz w:val="28"/>
          <w:szCs w:val="28"/>
          <w:lang w:eastAsia="ru-RU"/>
        </w:rPr>
        <w:lastRenderedPageBreak/>
        <w:t>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допуск </w:t>
      </w:r>
      <w:proofErr w:type="spellStart"/>
      <w:r w:rsidRPr="009E2734">
        <w:rPr>
          <w:rFonts w:ascii="Times New Roman" w:eastAsia="Times New Roman" w:hAnsi="Times New Roman" w:cs="Times New Roman"/>
          <w:sz w:val="28"/>
          <w:szCs w:val="28"/>
          <w:lang w:eastAsia="ru-RU"/>
        </w:rPr>
        <w:t>сурдопереводчика</w:t>
      </w:r>
      <w:proofErr w:type="spellEnd"/>
      <w:r w:rsidRPr="009E2734">
        <w:rPr>
          <w:rFonts w:ascii="Times New Roman" w:eastAsia="Times New Roman" w:hAnsi="Times New Roman" w:cs="Times New Roman"/>
          <w:sz w:val="28"/>
          <w:szCs w:val="28"/>
          <w:lang w:eastAsia="ru-RU"/>
        </w:rPr>
        <w:t xml:space="preserve"> и </w:t>
      </w:r>
      <w:proofErr w:type="spellStart"/>
      <w:r w:rsidRPr="009E2734">
        <w:rPr>
          <w:rFonts w:ascii="Times New Roman" w:eastAsia="Times New Roman" w:hAnsi="Times New Roman" w:cs="Times New Roman"/>
          <w:sz w:val="28"/>
          <w:szCs w:val="28"/>
          <w:lang w:eastAsia="ru-RU"/>
        </w:rPr>
        <w:t>тифлосурдопереводчика</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lastRenderedPageBreak/>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w:t>
      </w:r>
      <w:proofErr w:type="gramStart"/>
      <w:r w:rsidRPr="009E2734">
        <w:rPr>
          <w:rFonts w:ascii="Times New Roman" w:eastAsia="Calibri" w:hAnsi="Times New Roman" w:cs="Times New Roman"/>
          <w:sz w:val="28"/>
          <w:szCs w:val="28"/>
          <w:lang w:eastAsia="ru-RU"/>
        </w:rPr>
        <w:t>итогам</w:t>
      </w:r>
      <w:proofErr w:type="gramEnd"/>
      <w:r w:rsidRPr="009E2734">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9E2734">
        <w:rPr>
          <w:rFonts w:ascii="Times New Roman" w:eastAsia="Times New Roman" w:hAnsi="Times New Roman" w:cs="Times New Roman"/>
          <w:sz w:val="28"/>
          <w:szCs w:val="28"/>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Заявителям обеспечивается выдача результата муниципальной услуги в </w:t>
      </w:r>
      <w:r w:rsidRPr="009E2734">
        <w:rPr>
          <w:rFonts w:ascii="Times New Roman" w:eastAsia="Times New Roman" w:hAnsi="Times New Roman" w:cs="Times New Roman"/>
          <w:sz w:val="28"/>
          <w:szCs w:val="28"/>
          <w:lang w:eastAsia="ru-RU"/>
        </w:rPr>
        <w:lastRenderedPageBreak/>
        <w:t>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w:t>
      </w:r>
      <w:r w:rsidRPr="009E2734">
        <w:rPr>
          <w:rFonts w:ascii="Times New Roman" w:eastAsia="Times New Roman" w:hAnsi="Times New Roman" w:cs="Times New Roman"/>
          <w:sz w:val="28"/>
          <w:szCs w:val="28"/>
          <w:lang w:eastAsia="ru-RU"/>
        </w:rPr>
        <w:lastRenderedPageBreak/>
        <w:t>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9E2734">
        <w:rPr>
          <w:rFonts w:ascii="Times New Roman" w:eastAsia="Times New Roman" w:hAnsi="Times New Roman" w:cs="Times New Roman"/>
          <w:sz w:val="28"/>
          <w:szCs w:val="28"/>
          <w:lang w:eastAsia="ru-RU"/>
        </w:rPr>
        <w:t>ии и ау</w:t>
      </w:r>
      <w:proofErr w:type="gramEnd"/>
      <w:r w:rsidRPr="009E273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w:t>
      </w:r>
      <w:r w:rsidRPr="009E2734">
        <w:rPr>
          <w:rFonts w:ascii="Times New Roman" w:eastAsia="Times New Roman" w:hAnsi="Times New Roman" w:cs="Times New Roman"/>
          <w:sz w:val="28"/>
          <w:szCs w:val="28"/>
          <w:lang w:eastAsia="ru-RU"/>
        </w:rPr>
        <w:lastRenderedPageBreak/>
        <w:t>единой системе идентификации</w:t>
      </w:r>
      <w:proofErr w:type="gramEnd"/>
      <w:r w:rsidRPr="009E2734">
        <w:rPr>
          <w:rFonts w:ascii="Times New Roman" w:eastAsia="Times New Roman" w:hAnsi="Times New Roman" w:cs="Times New Roman"/>
          <w:sz w:val="28"/>
          <w:szCs w:val="28"/>
          <w:lang w:eastAsia="ru-RU"/>
        </w:rPr>
        <w:t xml:space="preserve">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9E2734">
        <w:rPr>
          <w:rFonts w:ascii="Times New Roman" w:eastAsia="Times New Roman" w:hAnsi="Times New Roman" w:cs="Times New Roman"/>
          <w:sz w:val="28"/>
          <w:szCs w:val="28"/>
          <w:lang w:eastAsia="ru-RU"/>
        </w:rPr>
        <w:t>потери</w:t>
      </w:r>
      <w:proofErr w:type="gramEnd"/>
      <w:r w:rsidRPr="009E2734">
        <w:rPr>
          <w:rFonts w:ascii="Times New Roman" w:eastAsia="Times New Roman" w:hAnsi="Times New Roman" w:cs="Times New Roman"/>
          <w:sz w:val="28"/>
          <w:szCs w:val="28"/>
          <w:lang w:eastAsia="ru-RU"/>
        </w:rPr>
        <w:t xml:space="preserve">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Сформированное и подписанное </w:t>
      </w:r>
      <w:proofErr w:type="gramStart"/>
      <w:r w:rsidRPr="009E2734">
        <w:rPr>
          <w:rFonts w:ascii="Times New Roman" w:eastAsia="Times New Roman" w:hAnsi="Times New Roman" w:cs="Times New Roman"/>
          <w:sz w:val="28"/>
          <w:szCs w:val="28"/>
          <w:lang w:eastAsia="ru-RU"/>
        </w:rPr>
        <w:t>заявление</w:t>
      </w:r>
      <w:proofErr w:type="gramEnd"/>
      <w:r w:rsidRPr="009E2734">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страции</w:t>
      </w:r>
      <w:proofErr w:type="gramStart"/>
      <w:r w:rsidR="00444DA9">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предоставлении услуги в электронной форме заявителю </w:t>
      </w:r>
      <w:r w:rsidRPr="009E2734">
        <w:rPr>
          <w:rFonts w:ascii="Times New Roman" w:eastAsia="Times New Roman" w:hAnsi="Times New Roman" w:cs="Times New Roman"/>
          <w:sz w:val="28"/>
          <w:szCs w:val="28"/>
          <w:lang w:eastAsia="ru-RU"/>
        </w:rPr>
        <w:lastRenderedPageBreak/>
        <w:t>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3.2.8. </w:t>
      </w:r>
      <w:proofErr w:type="gramStart"/>
      <w:r w:rsidRPr="009E2734">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2734">
        <w:rPr>
          <w:rFonts w:ascii="Times New Roman" w:eastAsia="Times New Roman" w:hAnsi="Times New Roman" w:cs="Times New Roman"/>
          <w:sz w:val="28"/>
          <w:szCs w:val="28"/>
          <w:lang w:eastAsia="ru-RU"/>
        </w:rPr>
        <w:t xml:space="preserve"> № </w:t>
      </w:r>
      <w:proofErr w:type="gramStart"/>
      <w:r w:rsidRPr="009E2734">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3.2.9. </w:t>
      </w:r>
      <w:proofErr w:type="gramStart"/>
      <w:r w:rsidRPr="009E2734">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2734">
        <w:rPr>
          <w:rFonts w:ascii="Times New Roman" w:eastAsia="Times New Roman" w:hAnsi="Times New Roman" w:cs="Times New Roman"/>
          <w:sz w:val="28"/>
          <w:szCs w:val="28"/>
          <w:vertAlign w:val="superscript"/>
          <w:lang w:eastAsia="ru-RU"/>
        </w:rPr>
        <w:footnoteReference w:id="1"/>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Перечень административных процедур (действий) при предоставлении муниципальной услуги, выполняемых </w:t>
      </w:r>
      <w:r w:rsidRPr="009E2734">
        <w:rPr>
          <w:rFonts w:ascii="Times New Roman" w:eastAsia="Times New Roman" w:hAnsi="Times New Roman" w:cs="Times New Roman"/>
          <w:b/>
          <w:sz w:val="28"/>
          <w:szCs w:val="28"/>
          <w:lang w:eastAsia="ru-RU"/>
        </w:rPr>
        <w:lastRenderedPageBreak/>
        <w:t>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3.3.1. </w:t>
      </w:r>
      <w:proofErr w:type="gramStart"/>
      <w:r w:rsidRPr="009E2734">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9E2734">
        <w:rPr>
          <w:rFonts w:ascii="Times New Roman" w:eastAsia="Times New Roman" w:hAnsi="Times New Roman" w:cs="Times New Roman"/>
          <w:sz w:val="28"/>
          <w:szCs w:val="28"/>
          <w:lang w:eastAsia="ru-RU"/>
        </w:rPr>
        <w:t>центра</w:t>
      </w:r>
      <w:proofErr w:type="gramEnd"/>
      <w:r w:rsidRPr="009E2734">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9E2734">
        <w:rPr>
          <w:rFonts w:ascii="Times New Roman" w:eastAsia="Times New Roman" w:hAnsi="Times New Roman" w:cs="Times New Roman"/>
          <w:sz w:val="28"/>
          <w:szCs w:val="28"/>
          <w:lang w:eastAsia="ru-RU"/>
        </w:rPr>
        <w:lastRenderedPageBreak/>
        <w:t xml:space="preserve">документа и (или) электронных образов документов. </w:t>
      </w:r>
      <w:proofErr w:type="gramStart"/>
      <w:r w:rsidRPr="009E2734">
        <w:rPr>
          <w:rFonts w:ascii="Times New Roman" w:eastAsia="Times New Roman" w:hAnsi="Times New Roman" w:cs="Times New Roman"/>
          <w:sz w:val="28"/>
          <w:szCs w:val="28"/>
          <w:lang w:eastAsia="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w:t>
      </w:r>
      <w:proofErr w:type="gramEnd"/>
      <w:r w:rsidR="00444DA9">
        <w:rPr>
          <w:rFonts w:ascii="Times New Roman" w:eastAsia="Times New Roman" w:hAnsi="Times New Roman" w:cs="Times New Roman"/>
          <w:sz w:val="28"/>
          <w:szCs w:val="28"/>
          <w:lang w:eastAsia="ru-RU"/>
        </w:rPr>
        <w:t>,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случае подачи заявления в электронной форме с использованием </w:t>
      </w:r>
      <w:r w:rsidRPr="009E2734">
        <w:rPr>
          <w:rFonts w:ascii="Times New Roman" w:eastAsia="Times New Roman" w:hAnsi="Times New Roman" w:cs="Times New Roman"/>
          <w:bCs/>
          <w:sz w:val="28"/>
          <w:szCs w:val="28"/>
          <w:lang w:eastAsia="ru-RU"/>
        </w:rPr>
        <w:lastRenderedPageBreak/>
        <w:t>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министрации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нистрацию</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3.4.4. </w:t>
      </w:r>
      <w:proofErr w:type="gramStart"/>
      <w:r w:rsidRPr="009E2734">
        <w:rPr>
          <w:rFonts w:ascii="Times New Roman" w:eastAsia="Times New Roman" w:hAnsi="Times New Roman" w:cs="Times New Roman"/>
          <w:bCs/>
          <w:sz w:val="28"/>
          <w:szCs w:val="28"/>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9E2734">
        <w:rPr>
          <w:rFonts w:ascii="Times New Roman" w:eastAsia="Times New Roman" w:hAnsi="Times New Roman" w:cs="Times New Roman"/>
          <w:bCs/>
          <w:sz w:val="28"/>
          <w:szCs w:val="28"/>
          <w:lang w:eastAsia="ru-RU"/>
        </w:rPr>
        <w:t xml:space="preserve">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нистрацию</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lastRenderedPageBreak/>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страции</w:t>
      </w:r>
      <w:proofErr w:type="gramStart"/>
      <w:r w:rsidR="0081228E">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0F5DBC">
        <w:rPr>
          <w:rFonts w:ascii="Times New Roman" w:eastAsia="Times New Roman" w:hAnsi="Times New Roman" w:cs="Times New Roman"/>
          <w:bCs/>
          <w:sz w:val="28"/>
          <w:szCs w:val="28"/>
          <w:lang w:eastAsia="ru-RU"/>
        </w:rPr>
        <w:t>страции</w:t>
      </w:r>
      <w:proofErr w:type="gramStart"/>
      <w:r w:rsidR="000F5DBC">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 обеспечивает в зависимости от способа получения результата муниципальной услуги, указанного в заявлении, направление решения о </w:t>
      </w:r>
      <w:r w:rsidRPr="009E2734">
        <w:rPr>
          <w:rFonts w:ascii="Times New Roman" w:eastAsia="Times New Roman" w:hAnsi="Times New Roman" w:cs="Times New Roman"/>
          <w:bCs/>
          <w:sz w:val="28"/>
          <w:szCs w:val="28"/>
          <w:lang w:eastAsia="ru-RU"/>
        </w:rPr>
        <w:lastRenderedPageBreak/>
        <w:t>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я в жилое помещение</w:t>
      </w:r>
      <w:proofErr w:type="gramStart"/>
      <w:r w:rsidR="000F5DBC">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w:t>
      </w:r>
      <w:r w:rsidRPr="009E2734">
        <w:rPr>
          <w:rFonts w:ascii="Times New Roman" w:eastAsia="Times New Roman" w:hAnsi="Times New Roman" w:cs="Times New Roman"/>
          <w:bCs/>
          <w:sz w:val="28"/>
          <w:szCs w:val="28"/>
          <w:lang w:eastAsia="ru-RU"/>
        </w:rPr>
        <w:lastRenderedPageBreak/>
        <w:t>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w:t>
      </w:r>
      <w:proofErr w:type="gramStart"/>
      <w:r w:rsidRPr="009E2734">
        <w:rPr>
          <w:rFonts w:ascii="Times New Roman" w:eastAsia="Times New Roman" w:hAnsi="Times New Roman" w:cs="Times New Roman"/>
          <w:bCs/>
          <w:sz w:val="28"/>
          <w:szCs w:val="28"/>
          <w:lang w:eastAsia="ru-RU"/>
        </w:rPr>
        <w:t>за</w:t>
      </w:r>
      <w:proofErr w:type="gramEnd"/>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9E2734">
        <w:rPr>
          <w:rFonts w:ascii="Times New Roman" w:eastAsia="Times New Roman" w:hAnsi="Times New Roman" w:cs="Times New Roman"/>
          <w:bCs/>
          <w:sz w:val="28"/>
          <w:szCs w:val="28"/>
          <w:lang w:eastAsia="ru-RU"/>
        </w:rPr>
        <w:t>с даты принятия</w:t>
      </w:r>
      <w:proofErr w:type="gramEnd"/>
      <w:r w:rsidRPr="009E2734">
        <w:rPr>
          <w:rFonts w:ascii="Times New Roman" w:eastAsia="Times New Roman" w:hAnsi="Times New Roman" w:cs="Times New Roman"/>
          <w:bCs/>
          <w:sz w:val="28"/>
          <w:szCs w:val="28"/>
          <w:lang w:eastAsia="ru-RU"/>
        </w:rPr>
        <w:t xml:space="preserve">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внесение сведений о конечном результате муниципальной услуги в состав реестра выданных уведомлений по переводу жилого (нежилого) </w:t>
      </w:r>
      <w:r w:rsidRPr="009E2734">
        <w:rPr>
          <w:rFonts w:ascii="Times New Roman" w:eastAsia="Times New Roman" w:hAnsi="Times New Roman" w:cs="Times New Roman"/>
          <w:bCs/>
          <w:sz w:val="28"/>
          <w:szCs w:val="28"/>
          <w:lang w:eastAsia="ru-RU"/>
        </w:rPr>
        <w:lastRenderedPageBreak/>
        <w:t>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страции</w:t>
      </w:r>
      <w:proofErr w:type="gramStart"/>
      <w:r w:rsidR="004B616B">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xml:space="preserve">, многофункциональный центр с заявлением об исправлении допущенных опечаток по форме согласно приложениям №№ 4 – </w:t>
      </w:r>
      <w:r w:rsidRPr="009E2734">
        <w:rPr>
          <w:rFonts w:ascii="Times New Roman" w:eastAsia="Times New Roman" w:hAnsi="Times New Roman" w:cs="Times New Roman"/>
          <w:sz w:val="28"/>
          <w:szCs w:val="28"/>
          <w:lang w:eastAsia="ru-RU"/>
        </w:rPr>
        <w:lastRenderedPageBreak/>
        <w:t>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6) реквизиты документа (-</w:t>
      </w:r>
      <w:proofErr w:type="spellStart"/>
      <w:r w:rsidRPr="009E2734">
        <w:rPr>
          <w:rFonts w:ascii="Times New Roman" w:eastAsia="Times New Roman" w:hAnsi="Times New Roman" w:cs="Times New Roman"/>
          <w:sz w:val="28"/>
          <w:szCs w:val="28"/>
          <w:lang w:eastAsia="ru-RU"/>
        </w:rPr>
        <w:t>ов</w:t>
      </w:r>
      <w:proofErr w:type="spell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обосновывающих</w:t>
      </w:r>
      <w:proofErr w:type="gramEnd"/>
      <w:r w:rsidRPr="009E2734">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нистрацию</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3.14. Основаниями для отказа в исправлении опечаток и ошибок </w:t>
      </w:r>
      <w:r w:rsidRPr="009E2734">
        <w:rPr>
          <w:rFonts w:ascii="Times New Roman" w:eastAsia="Times New Roman" w:hAnsi="Times New Roman" w:cs="Times New Roman"/>
          <w:sz w:val="28"/>
          <w:szCs w:val="28"/>
          <w:lang w:eastAsia="ru-RU"/>
        </w:rPr>
        <w:lastRenderedPageBreak/>
        <w:t>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истрации</w:t>
      </w:r>
      <w:proofErr w:type="gramStart"/>
      <w:r w:rsidR="004B616B">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Порядок осуществления текущего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устанавливающих</w:t>
      </w:r>
      <w:proofErr w:type="gramEnd"/>
      <w:r w:rsidRPr="009E2734">
        <w:rPr>
          <w:rFonts w:ascii="Times New Roman" w:eastAsia="Times New Roman" w:hAnsi="Times New Roman" w:cs="Times New Roman"/>
          <w:b/>
          <w:sz w:val="28"/>
          <w:szCs w:val="28"/>
          <w:lang w:eastAsia="ru-RU"/>
        </w:rPr>
        <w:t xml:space="preserve">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9E2734">
        <w:rPr>
          <w:rFonts w:ascii="Times New Roman" w:eastAsia="Times New Roman" w:hAnsi="Times New Roman" w:cs="Times New Roman"/>
          <w:sz w:val="28"/>
          <w:szCs w:val="28"/>
          <w:lang w:eastAsia="ru-RU"/>
        </w:rPr>
        <w:lastRenderedPageBreak/>
        <w:t>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9E2734">
        <w:rPr>
          <w:rFonts w:ascii="Times New Roman" w:eastAsia="Times New Roman" w:hAnsi="Times New Roman" w:cs="Times New Roman"/>
          <w:b/>
          <w:sz w:val="28"/>
          <w:szCs w:val="28"/>
          <w:lang w:eastAsia="ru-RU"/>
        </w:rPr>
        <w:t>плановых</w:t>
      </w:r>
      <w:proofErr w:type="gramEnd"/>
      <w:r w:rsidRPr="009E2734">
        <w:rPr>
          <w:rFonts w:ascii="Times New Roman" w:eastAsia="Times New Roman" w:hAnsi="Times New Roman" w:cs="Times New Roman"/>
          <w:b/>
          <w:sz w:val="28"/>
          <w:szCs w:val="28"/>
          <w:lang w:eastAsia="ru-RU"/>
        </w:rPr>
        <w:t xml:space="preserve">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4.2.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(бездействие), </w:t>
      </w:r>
      <w:proofErr w:type="gramStart"/>
      <w:r w:rsidRPr="009E2734">
        <w:rPr>
          <w:rFonts w:ascii="Times New Roman" w:eastAsia="Times New Roman" w:hAnsi="Times New Roman" w:cs="Times New Roman"/>
          <w:b/>
          <w:sz w:val="28"/>
          <w:szCs w:val="28"/>
          <w:lang w:eastAsia="ru-RU"/>
        </w:rPr>
        <w:t>принимаемые</w:t>
      </w:r>
      <w:proofErr w:type="gramEnd"/>
      <w:r w:rsidRPr="009E2734">
        <w:rPr>
          <w:rFonts w:ascii="Times New Roman" w:eastAsia="Times New Roman" w:hAnsi="Times New Roman" w:cs="Times New Roman"/>
          <w:b/>
          <w:sz w:val="28"/>
          <w:szCs w:val="28"/>
          <w:lang w:eastAsia="ru-RU"/>
        </w:rPr>
        <w:t xml:space="preserve">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lastRenderedPageBreak/>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Требования к порядку и формам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5.1. </w:t>
      </w:r>
      <w:proofErr w:type="gramStart"/>
      <w:r w:rsidRPr="009E2734">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w:t>
      </w:r>
      <w:r w:rsidRPr="009E2734">
        <w:rPr>
          <w:rFonts w:ascii="Times New Roman" w:eastAsia="Times New Roman" w:hAnsi="Times New Roman" w:cs="Times New Roman"/>
          <w:bCs/>
          <w:sz w:val="28"/>
          <w:szCs w:val="28"/>
          <w:lang w:eastAsia="ru-RU"/>
        </w:rPr>
        <w:lastRenderedPageBreak/>
        <w:t xml:space="preserve">функции по предоставлению государственных или муниципальных услуг, предусмотренных </w:t>
      </w:r>
      <w:hyperlink r:id="rId8"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5.2. </w:t>
      </w:r>
      <w:proofErr w:type="gramStart"/>
      <w:r w:rsidRPr="009E2734">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E2734">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9E2734">
        <w:rPr>
          <w:rFonts w:ascii="Times New Roman" w:eastAsia="Times New Roman" w:hAnsi="Times New Roman" w:cs="Times New Roman"/>
          <w:sz w:val="28"/>
          <w:szCs w:val="28"/>
          <w:lang w:eastAsia="ru-RU"/>
        </w:rPr>
        <w:lastRenderedPageBreak/>
        <w:t>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73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E273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9E2734">
        <w:rPr>
          <w:rFonts w:ascii="Times New Roman" w:eastAsia="Times New Roman" w:hAnsi="Times New Roman" w:cs="Times New Roman"/>
          <w:sz w:val="28"/>
          <w:szCs w:val="28"/>
          <w:lang w:eastAsia="ru-RU"/>
        </w:rPr>
        <w:lastRenderedPageBreak/>
        <w:t xml:space="preserve">полномочия на осуществление действий от имени заявителя, может быть </w:t>
      </w:r>
      <w:proofErr w:type="gramStart"/>
      <w:r w:rsidRPr="009E2734">
        <w:rPr>
          <w:rFonts w:ascii="Times New Roman" w:eastAsia="Times New Roman" w:hAnsi="Times New Roman" w:cs="Times New Roman"/>
          <w:sz w:val="28"/>
          <w:szCs w:val="28"/>
          <w:lang w:eastAsia="ru-RU"/>
        </w:rPr>
        <w:t>представлена</w:t>
      </w:r>
      <w:proofErr w:type="gramEnd"/>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3"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жалобы в Администрации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4B616B"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proofErr w:type="spellStart"/>
      <w:r w:rsidR="004B616B" w:rsidRPr="004B616B">
        <w:rPr>
          <w:rFonts w:ascii="Times New Roman" w:eastAsia="Times New Roman" w:hAnsi="Times New Roman" w:cs="Times New Roman"/>
          <w:sz w:val="28"/>
          <w:szCs w:val="28"/>
          <w:lang w:val="en-US" w:eastAsia="ru-RU"/>
        </w:rPr>
        <w:t>gpbaimak</w:t>
      </w:r>
      <w:proofErr w:type="spellEnd"/>
      <w:r w:rsidR="004B616B" w:rsidRPr="004B616B">
        <w:rPr>
          <w:rFonts w:ascii="Times New Roman" w:eastAsia="Times New Roman" w:hAnsi="Times New Roman" w:cs="Times New Roman"/>
          <w:sz w:val="28"/>
          <w:szCs w:val="28"/>
          <w:lang w:eastAsia="ru-RU"/>
        </w:rPr>
        <w:t>.</w:t>
      </w:r>
      <w:proofErr w:type="spellStart"/>
      <w:r w:rsidR="004B616B" w:rsidRPr="004B616B">
        <w:rPr>
          <w:rFonts w:ascii="Times New Roman" w:eastAsia="Times New Roman" w:hAnsi="Times New Roman" w:cs="Times New Roman"/>
          <w:sz w:val="28"/>
          <w:szCs w:val="28"/>
          <w:lang w:val="en-US" w:eastAsia="ru-RU"/>
        </w:rPr>
        <w:t>ucoz</w:t>
      </w:r>
      <w:proofErr w:type="spellEnd"/>
      <w:r w:rsidR="004B616B" w:rsidRPr="004B616B">
        <w:rPr>
          <w:rFonts w:ascii="Times New Roman" w:eastAsia="Times New Roman" w:hAnsi="Times New Roman" w:cs="Times New Roman"/>
          <w:sz w:val="28"/>
          <w:szCs w:val="28"/>
          <w:lang w:eastAsia="ru-RU"/>
        </w:rPr>
        <w:t>.</w:t>
      </w:r>
      <w:proofErr w:type="spellStart"/>
      <w:r w:rsidR="004B616B" w:rsidRPr="004B616B">
        <w:rPr>
          <w:rFonts w:ascii="Times New Roman" w:eastAsia="Times New Roman" w:hAnsi="Times New Roman" w:cs="Times New Roman"/>
          <w:sz w:val="28"/>
          <w:szCs w:val="28"/>
          <w:lang w:val="en-US" w:eastAsia="ru-RU"/>
        </w:rPr>
        <w:t>ru</w:t>
      </w:r>
      <w:proofErr w:type="spell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В случае, если в компетенцию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страции</w:t>
      </w:r>
      <w:proofErr w:type="gramStart"/>
      <w:r w:rsidR="00E040C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w:t>
      </w:r>
      <w:r w:rsidRPr="009E2734">
        <w:rPr>
          <w:rFonts w:ascii="Times New Roman" w:eastAsia="Times New Roman" w:hAnsi="Times New Roman" w:cs="Times New Roman"/>
          <w:sz w:val="28"/>
          <w:szCs w:val="28"/>
          <w:lang w:eastAsia="ru-RU"/>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w:t>
      </w:r>
      <w:proofErr w:type="gramStart"/>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2734">
        <w:rPr>
          <w:rFonts w:ascii="Times New Roman" w:eastAsia="Calibri" w:hAnsi="Times New Roman" w:cs="Times New Roman"/>
          <w:sz w:val="28"/>
          <w:szCs w:val="28"/>
        </w:rPr>
        <w:t>неудобства</w:t>
      </w:r>
      <w:proofErr w:type="gramEnd"/>
      <w:r w:rsidRPr="009E273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 xml:space="preserve">5.13. В случае признания </w:t>
      </w:r>
      <w:proofErr w:type="gramStart"/>
      <w:r w:rsidRPr="009E2734">
        <w:rPr>
          <w:rFonts w:ascii="Times New Roman" w:eastAsia="Calibri" w:hAnsi="Times New Roman" w:cs="Times New Roman"/>
          <w:sz w:val="28"/>
          <w:szCs w:val="28"/>
        </w:rPr>
        <w:t>жалобы</w:t>
      </w:r>
      <w:proofErr w:type="gramEnd"/>
      <w:r w:rsidRPr="009E2734">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9E273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E2734">
        <w:rPr>
          <w:rFonts w:ascii="Times New Roman" w:eastAsia="Times New Roman" w:hAnsi="Times New Roman" w:cs="Times New Roman"/>
          <w:sz w:val="28"/>
          <w:szCs w:val="28"/>
          <w:lang w:eastAsia="ru-RU"/>
        </w:rPr>
        <w:t xml:space="preserve">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lastRenderedPageBreak/>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w:t>
      </w:r>
      <w:proofErr w:type="gramStart"/>
      <w:r w:rsidRPr="009E2734">
        <w:rPr>
          <w:rFonts w:ascii="Times New Roman" w:eastAsia="Times New Roman" w:hAnsi="Times New Roman" w:cs="Times New Roman"/>
          <w:kern w:val="32"/>
          <w:sz w:val="24"/>
          <w:szCs w:val="20"/>
          <w:lang w:eastAsia="ru-RU"/>
        </w:rPr>
        <w:t>(фамилия, имя, отчество -</w:t>
      </w:r>
      <w:proofErr w:type="gramEnd"/>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lastRenderedPageBreak/>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w:t>
      </w:r>
      <w:proofErr w:type="gramStart"/>
      <w:r w:rsidRPr="009E2734">
        <w:rPr>
          <w:rFonts w:ascii="Times New Roman" w:eastAsia="Times New Roman" w:hAnsi="Times New Roman" w:cs="Times New Roman"/>
          <w:kern w:val="32"/>
          <w:sz w:val="24"/>
          <w:szCs w:val="20"/>
          <w:lang w:eastAsia="ru-RU"/>
        </w:rPr>
        <w:t>(почтовый индекс и адрес</w:t>
      </w:r>
      <w:proofErr w:type="gramEnd"/>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 xml:space="preserve">о переводе (отказе в переводе) </w:t>
      </w:r>
      <w:proofErr w:type="gramStart"/>
      <w:r w:rsidRPr="009E2734">
        <w:rPr>
          <w:rFonts w:ascii="Times New Roman" w:eastAsia="Times New Roman" w:hAnsi="Times New Roman" w:cs="Times New Roman"/>
          <w:kern w:val="32"/>
          <w:sz w:val="28"/>
          <w:szCs w:val="20"/>
          <w:lang w:eastAsia="ru-RU"/>
        </w:rPr>
        <w:t>жилого</w:t>
      </w:r>
      <w:proofErr w:type="gramEnd"/>
      <w:r w:rsidRPr="009E2734">
        <w:rPr>
          <w:rFonts w:ascii="Times New Roman" w:eastAsia="Times New Roman" w:hAnsi="Times New Roman" w:cs="Times New Roman"/>
          <w:kern w:val="32"/>
          <w:sz w:val="28"/>
          <w:szCs w:val="20"/>
          <w:lang w:eastAsia="ru-RU"/>
        </w:rPr>
        <w:t xml:space="preserve">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proofErr w:type="gramStart"/>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4"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w:t>
      </w:r>
      <w:proofErr w:type="gramStart"/>
      <w:r w:rsidRPr="009E2734">
        <w:rPr>
          <w:rFonts w:ascii="Times New Roman" w:eastAsia="Times New Roman" w:hAnsi="Times New Roman" w:cs="Times New Roman"/>
          <w:kern w:val="32"/>
          <w:sz w:val="24"/>
          <w:szCs w:val="24"/>
          <w:lang w:eastAsia="ru-RU"/>
        </w:rPr>
        <w:t>(вид использования помещения в соответствии</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w:t>
      </w:r>
      <w:proofErr w:type="gramStart"/>
      <w:r w:rsidRPr="009E2734">
        <w:rPr>
          <w:rFonts w:ascii="Times New Roman" w:eastAsia="Times New Roman" w:hAnsi="Times New Roman" w:cs="Times New Roman"/>
          <w:kern w:val="32"/>
          <w:sz w:val="24"/>
          <w:szCs w:val="24"/>
          <w:lang w:eastAsia="ru-RU"/>
        </w:rPr>
        <w:t xml:space="preserve"> (_________________________________________________________):</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lastRenderedPageBreak/>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roofErr w:type="gramStart"/>
      <w:r w:rsidRPr="009E2734">
        <w:rPr>
          <w:rFonts w:ascii="Times New Roman" w:eastAsia="Times New Roman" w:hAnsi="Times New Roman" w:cs="Times New Roman"/>
          <w:kern w:val="32"/>
          <w:sz w:val="24"/>
          <w:szCs w:val="24"/>
          <w:lang w:eastAsia="ru-RU"/>
        </w:rPr>
        <w:t>условии</w:t>
      </w:r>
      <w:proofErr w:type="gramEnd"/>
      <w:r w:rsidRPr="009E2734">
        <w:rPr>
          <w:rFonts w:ascii="Times New Roman" w:eastAsia="Times New Roman" w:hAnsi="Times New Roman" w:cs="Times New Roman"/>
          <w:kern w:val="32"/>
          <w:sz w:val="24"/>
          <w:szCs w:val="24"/>
          <w:lang w:eastAsia="ru-RU"/>
        </w:rPr>
        <w:t xml:space="preserve">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w:t>
      </w:r>
      <w:proofErr w:type="gramStart"/>
      <w:r w:rsidRPr="009E2734">
        <w:rPr>
          <w:rFonts w:ascii="Times New Roman" w:eastAsia="Times New Roman" w:hAnsi="Times New Roman" w:cs="Times New Roman"/>
          <w:kern w:val="32"/>
          <w:sz w:val="24"/>
          <w:szCs w:val="24"/>
          <w:lang w:eastAsia="ru-RU"/>
        </w:rPr>
        <w:t>(перечень работ по переустройству</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w:t>
      </w:r>
      <w:proofErr w:type="gramStart"/>
      <w:r w:rsidRPr="009E2734">
        <w:rPr>
          <w:rFonts w:ascii="Times New Roman" w:eastAsia="Times New Roman" w:hAnsi="Times New Roman" w:cs="Times New Roman"/>
          <w:kern w:val="32"/>
          <w:sz w:val="24"/>
          <w:szCs w:val="24"/>
          <w:lang w:eastAsia="ru-RU"/>
        </w:rPr>
        <w:t>из</w:t>
      </w:r>
      <w:proofErr w:type="gramEnd"/>
      <w:r w:rsidRPr="009E2734">
        <w:rPr>
          <w:rFonts w:ascii="Times New Roman" w:eastAsia="Times New Roman" w:hAnsi="Times New Roman" w:cs="Times New Roman"/>
          <w:kern w:val="32"/>
          <w:sz w:val="24"/>
          <w:szCs w:val="24"/>
          <w:lang w:eastAsia="ru-RU"/>
        </w:rPr>
        <w:t xml:space="preserve">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w:t>
      </w:r>
      <w:proofErr w:type="gramStart"/>
      <w:r w:rsidRPr="009E2734">
        <w:rPr>
          <w:rFonts w:ascii="Times New Roman" w:eastAsia="Times New Roman" w:hAnsi="Times New Roman" w:cs="Times New Roman"/>
          <w:kern w:val="32"/>
          <w:sz w:val="24"/>
          <w:szCs w:val="24"/>
          <w:lang w:eastAsia="ru-RU"/>
        </w:rPr>
        <w:t>нежилого</w:t>
      </w:r>
      <w:proofErr w:type="gramEnd"/>
      <w:r w:rsidRPr="009E2734">
        <w:rPr>
          <w:rFonts w:ascii="Times New Roman" w:eastAsia="Times New Roman" w:hAnsi="Times New Roman" w:cs="Times New Roman"/>
          <w:kern w:val="32"/>
          <w:sz w:val="24"/>
          <w:szCs w:val="24"/>
          <w:lang w:eastAsia="ru-RU"/>
        </w:rPr>
        <w:t>)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(основани</w:t>
      </w:r>
      <w:proofErr w:type="gramStart"/>
      <w:r w:rsidRPr="009E2734">
        <w:rPr>
          <w:rFonts w:ascii="Times New Roman" w:eastAsia="Times New Roman" w:hAnsi="Times New Roman" w:cs="Times New Roman"/>
          <w:kern w:val="32"/>
          <w:sz w:val="20"/>
          <w:szCs w:val="24"/>
          <w:lang w:eastAsia="ru-RU"/>
        </w:rPr>
        <w:t>е(</w:t>
      </w:r>
      <w:proofErr w:type="gramEnd"/>
      <w:r w:rsidRPr="009E2734">
        <w:rPr>
          <w:rFonts w:ascii="Times New Roman" w:eastAsia="Times New Roman" w:hAnsi="Times New Roman" w:cs="Times New Roman"/>
          <w:kern w:val="32"/>
          <w:sz w:val="20"/>
          <w:szCs w:val="24"/>
          <w:lang w:eastAsia="ru-RU"/>
        </w:rPr>
        <w:t xml:space="preserve">я), установленное частью 1 </w:t>
      </w:r>
      <w:hyperlink r:id="rId15"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(ФИО должностного лица (работника)</w:t>
            </w:r>
            <w:proofErr w:type="gramEnd"/>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(кем, когда </w:t>
            </w:r>
            <w:proofErr w:type="gramStart"/>
            <w:r w:rsidRPr="009E2734">
              <w:rPr>
                <w:rFonts w:ascii="Times New Roman" w:eastAsia="Times New Roman" w:hAnsi="Times New Roman" w:cs="Times New Roman"/>
                <w:sz w:val="24"/>
                <w:szCs w:val="24"/>
                <w:lang w:eastAsia="ru-RU"/>
              </w:rPr>
              <w:t>выдан</w:t>
            </w:r>
            <w:proofErr w:type="gramEnd"/>
            <w:r w:rsidRPr="009E2734">
              <w:rPr>
                <w:rFonts w:ascii="Times New Roman" w:eastAsia="Times New Roman" w:hAnsi="Times New Roman" w:cs="Times New Roman"/>
                <w:sz w:val="24"/>
                <w:szCs w:val="24"/>
                <w:lang w:eastAsia="ru-RU"/>
              </w:rPr>
              <w:t>)</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w:t>
            </w:r>
            <w:r w:rsidRPr="009E2734">
              <w:rPr>
                <w:rFonts w:ascii="Times New Roman" w:eastAsia="Times New Roman" w:hAnsi="Times New Roman" w:cs="Times New Roman"/>
                <w:sz w:val="24"/>
                <w:szCs w:val="24"/>
                <w:lang w:val="en-US" w:eastAsia="ru-RU"/>
              </w:rPr>
              <w:t xml:space="preserve"> </w:t>
            </w:r>
            <w:r w:rsidRPr="009E2734">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(для физических лиц:</w:t>
            </w:r>
            <w:proofErr w:type="gramEnd"/>
            <w:r w:rsidRPr="009E2734">
              <w:rPr>
                <w:rFonts w:ascii="Times New Roman" w:eastAsia="Times New Roman" w:hAnsi="Times New Roman" w:cs="Times New Roman"/>
                <w:sz w:val="24"/>
                <w:szCs w:val="24"/>
                <w:lang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кем, когда </w:t>
            </w:r>
            <w:proofErr w:type="gramStart"/>
            <w:r w:rsidRPr="009E2734">
              <w:rPr>
                <w:rFonts w:ascii="Times New Roman" w:eastAsia="Times New Roman" w:hAnsi="Times New Roman" w:cs="Times New Roman"/>
                <w:sz w:val="24"/>
                <w:szCs w:val="24"/>
                <w:lang w:eastAsia="ru-RU"/>
              </w:rPr>
              <w:t>выдан</w:t>
            </w:r>
            <w:proofErr w:type="gramEnd"/>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расположенного</w:t>
            </w:r>
            <w:proofErr w:type="gramEnd"/>
            <w:r w:rsidRPr="009E2734">
              <w:rPr>
                <w:rFonts w:ascii="Times New Roman" w:eastAsia="Times New Roman" w:hAnsi="Times New Roman" w:cs="Times New Roman"/>
                <w:sz w:val="24"/>
                <w:szCs w:val="24"/>
                <w:lang w:eastAsia="ru-RU"/>
              </w:rPr>
              <w:t xml:space="preserve">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(текущее назначение помещения (жилое/нежилое)</w:t>
            </w:r>
            <w:proofErr w:type="gramEnd"/>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из (жилого/нежилого) помещения в (</w:t>
            </w:r>
            <w:proofErr w:type="gramStart"/>
            <w:r w:rsidRPr="009E2734">
              <w:rPr>
                <w:rFonts w:ascii="Times New Roman" w:eastAsia="Times New Roman" w:hAnsi="Times New Roman" w:cs="Times New Roman"/>
                <w:sz w:val="24"/>
                <w:szCs w:val="24"/>
                <w:lang w:eastAsia="ru-RU"/>
              </w:rPr>
              <w:t>нежилое</w:t>
            </w:r>
            <w:proofErr w:type="gramEnd"/>
            <w:r w:rsidRPr="009E2734">
              <w:rPr>
                <w:rFonts w:ascii="Times New Roman" w:eastAsia="Times New Roman" w:hAnsi="Times New Roman" w:cs="Times New Roman"/>
                <w:sz w:val="24"/>
                <w:szCs w:val="24"/>
                <w:lang w:eastAsia="ru-RU"/>
              </w:rPr>
              <w:t xml:space="preserve">/жилое)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w:t>
            </w:r>
            <w:proofErr w:type="gramStart"/>
            <w:r w:rsidRPr="009E2734">
              <w:rPr>
                <w:rFonts w:ascii="Times New Roman" w:eastAsia="Times New Roman" w:hAnsi="Times New Roman" w:cs="Times New Roman"/>
                <w:sz w:val="24"/>
                <w:szCs w:val="24"/>
                <w:lang w:eastAsia="ru-RU"/>
              </w:rPr>
              <w:t>м(</w:t>
            </w:r>
            <w:proofErr w:type="spellStart"/>
            <w:proofErr w:type="gramEnd"/>
            <w:r w:rsidRPr="009E2734">
              <w:rPr>
                <w:rFonts w:ascii="Times New Roman" w:eastAsia="Times New Roman" w:hAnsi="Times New Roman" w:cs="Times New Roman"/>
                <w:sz w:val="24"/>
                <w:szCs w:val="24"/>
                <w:lang w:eastAsia="ru-RU"/>
              </w:rPr>
              <w:t>ями</w:t>
            </w:r>
            <w:proofErr w:type="spellEnd"/>
            <w:r w:rsidRPr="009E2734">
              <w:rPr>
                <w:rFonts w:ascii="Times New Roman" w:eastAsia="Times New Roman" w:hAnsi="Times New Roman" w:cs="Times New Roman"/>
                <w:sz w:val="24"/>
                <w:szCs w:val="24"/>
                <w:lang w:eastAsia="ru-RU"/>
              </w:rPr>
              <w:t>)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помещения </w:t>
            </w:r>
            <w:proofErr w:type="gramStart"/>
            <w:r w:rsidRPr="009E2734">
              <w:rPr>
                <w:rFonts w:ascii="Times New Roman" w:eastAsia="Times New Roman" w:hAnsi="Times New Roman" w:cs="Times New Roman"/>
                <w:sz w:val="24"/>
                <w:szCs w:val="24"/>
                <w:lang w:eastAsia="ru-RU"/>
              </w:rPr>
              <w:t>на</w:t>
            </w:r>
            <w:proofErr w:type="gramEnd"/>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Номера смежных (примыкающих) с </w:t>
            </w:r>
            <w:proofErr w:type="gramStart"/>
            <w:r w:rsidRPr="009E2734">
              <w:rPr>
                <w:rFonts w:ascii="Times New Roman" w:eastAsia="Times New Roman" w:hAnsi="Times New Roman" w:cs="Times New Roman"/>
                <w:sz w:val="24"/>
                <w:szCs w:val="24"/>
                <w:lang w:eastAsia="ru-RU"/>
              </w:rPr>
              <w:t>переводимым</w:t>
            </w:r>
            <w:proofErr w:type="gramEnd"/>
            <w:r w:rsidRPr="009E2734">
              <w:rPr>
                <w:rFonts w:ascii="Times New Roman" w:eastAsia="Times New Roman" w:hAnsi="Times New Roman" w:cs="Times New Roman"/>
                <w:sz w:val="24"/>
                <w:szCs w:val="24"/>
                <w:lang w:eastAsia="ru-RU"/>
              </w:rPr>
              <w:t xml:space="preserve">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w:t>
      </w:r>
      <w:proofErr w:type="gramStart"/>
      <w:r w:rsidRPr="009E2734">
        <w:rPr>
          <w:rFonts w:ascii="Times New Roman" w:eastAsia="Times New Roman" w:hAnsi="Times New Roman" w:cs="Times New Roman"/>
          <w:sz w:val="24"/>
          <w:szCs w:val="24"/>
          <w:lang w:eastAsia="ru-RU"/>
        </w:rPr>
        <w:t>в</w:t>
      </w:r>
      <w:proofErr w:type="gramEnd"/>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качестве</w:t>
            </w:r>
            <w:proofErr w:type="gramEnd"/>
            <w:r w:rsidRPr="009E2734">
              <w:rPr>
                <w:rFonts w:ascii="Times New Roman" w:eastAsia="Times New Roman" w:hAnsi="Times New Roman" w:cs="Times New Roman"/>
                <w:sz w:val="24"/>
                <w:szCs w:val="24"/>
                <w:lang w:eastAsia="ru-RU"/>
              </w:rPr>
              <w:t xml:space="preserve">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w:t>
      </w:r>
      <w:proofErr w:type="gramStart"/>
      <w:r w:rsidRPr="009E2734">
        <w:rPr>
          <w:rFonts w:ascii="Times New Roman" w:eastAsia="Times New Roman" w:hAnsi="Times New Roman" w:cs="Times New Roman"/>
          <w:sz w:val="24"/>
          <w:szCs w:val="24"/>
          <w:lang w:eastAsia="ru-RU"/>
        </w:rPr>
        <w:t>многоквартирным</w:t>
      </w:r>
      <w:proofErr w:type="gramEnd"/>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9E2734">
        <w:rPr>
          <w:rFonts w:ascii="Times New Roman" w:eastAsia="Times New Roman" w:hAnsi="Times New Roman" w:cs="Times New Roman"/>
          <w:sz w:val="24"/>
          <w:szCs w:val="24"/>
          <w:lang w:eastAsia="ru-RU"/>
        </w:rPr>
        <w:t>нужное</w:t>
      </w:r>
      <w:proofErr w:type="gramEnd"/>
      <w:r w:rsidRPr="009E2734">
        <w:rPr>
          <w:rFonts w:ascii="Times New Roman" w:eastAsia="Times New Roman" w:hAnsi="Times New Roman" w:cs="Times New Roman"/>
          <w:sz w:val="24"/>
          <w:szCs w:val="24"/>
          <w:lang w:eastAsia="ru-RU"/>
        </w:rPr>
        <w:t xml:space="preserve">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возобновлении</w:t>
            </w:r>
            <w:proofErr w:type="gramEnd"/>
            <w:r w:rsidRPr="009E2734">
              <w:rPr>
                <w:rFonts w:ascii="Times New Roman" w:eastAsia="Times New Roman" w:hAnsi="Times New Roman" w:cs="Times New Roman"/>
                <w:sz w:val="24"/>
                <w:szCs w:val="24"/>
                <w:lang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151"/>
        <w:gridCol w:w="2207"/>
        <w:gridCol w:w="221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сда</w:t>
      </w:r>
      <w:proofErr w:type="gramStart"/>
      <w:r w:rsidRPr="009E2734">
        <w:rPr>
          <w:rFonts w:ascii="Times New Roman" w:eastAsia="Times New Roman" w:hAnsi="Times New Roman" w:cs="Times New Roman"/>
          <w:sz w:val="26"/>
          <w:szCs w:val="26"/>
          <w:lang w:eastAsia="ru-RU"/>
        </w:rPr>
        <w:t>л(</w:t>
      </w:r>
      <w:proofErr w:type="gramEnd"/>
      <w:r w:rsidRPr="009E2734">
        <w:rPr>
          <w:rFonts w:ascii="Times New Roman" w:eastAsia="Times New Roman" w:hAnsi="Times New Roman" w:cs="Times New Roman"/>
          <w:sz w:val="26"/>
          <w:szCs w:val="26"/>
          <w:lang w:eastAsia="ru-RU"/>
        </w:rPr>
        <w:t xml:space="preserve">-а), а специалист </w:t>
      </w:r>
      <w:bookmarkStart w:id="3" w:name="OLE_LINK30"/>
      <w:bookmarkStart w:id="4" w:name="OLE_LINK29"/>
      <w:r w:rsidRPr="009E2734">
        <w:rPr>
          <w:rFonts w:ascii="Times New Roman" w:eastAsia="Times New Roman" w:hAnsi="Times New Roman" w:cs="Times New Roman"/>
          <w:sz w:val="26"/>
          <w:szCs w:val="26"/>
          <w:lang w:eastAsia="ru-RU"/>
        </w:rPr>
        <w:t>________________________________,</w:t>
      </w:r>
      <w:bookmarkEnd w:id="3"/>
      <w:bookmarkEnd w:id="4"/>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lastRenderedPageBreak/>
              <w:t xml:space="preserve">№ </w:t>
            </w:r>
            <w:proofErr w:type="gramStart"/>
            <w:r w:rsidRPr="009E2734">
              <w:rPr>
                <w:rFonts w:ascii="Times New Roman" w:eastAsia="Times New Roman" w:hAnsi="Times New Roman" w:cs="Times New Roman"/>
                <w:sz w:val="26"/>
                <w:szCs w:val="26"/>
                <w:lang w:eastAsia="ru-RU"/>
              </w:rPr>
              <w:t>п</w:t>
            </w:r>
            <w:proofErr w:type="gramEnd"/>
            <w:r w:rsidRPr="009E2734">
              <w:rPr>
                <w:rFonts w:ascii="Times New Roman" w:eastAsia="Times New Roman" w:hAnsi="Times New Roman" w:cs="Times New Roman"/>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894"/>
        <w:gridCol w:w="7146"/>
        <w:gridCol w:w="153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5"/>
    <w:bookmarkEnd w:id="6"/>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103"/>
        <w:gridCol w:w="4468"/>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w:t>
            </w:r>
            <w:proofErr w:type="gramStart"/>
            <w:r w:rsidRPr="009E2734">
              <w:rPr>
                <w:rFonts w:ascii="Times New Roman" w:eastAsia="Times New Roman" w:hAnsi="Times New Roman" w:cs="Times New Roman"/>
                <w:sz w:val="26"/>
                <w:szCs w:val="26"/>
                <w:lang w:eastAsia="ru-RU"/>
              </w:rPr>
              <w:t>о(</w:t>
            </w:r>
            <w:proofErr w:type="gramEnd"/>
            <w:r w:rsidRPr="009E2734">
              <w:rPr>
                <w:rFonts w:ascii="Times New Roman" w:eastAsia="Times New Roman" w:hAnsi="Times New Roman" w:cs="Times New Roman"/>
                <w:sz w:val="26"/>
                <w:szCs w:val="26"/>
                <w:lang w:eastAsia="ru-RU"/>
              </w:rPr>
              <w:t>-ых) документа(-</w:t>
            </w:r>
            <w:proofErr w:type="spellStart"/>
            <w:r w:rsidRPr="009E2734">
              <w:rPr>
                <w:rFonts w:ascii="Times New Roman" w:eastAsia="Times New Roman" w:hAnsi="Times New Roman" w:cs="Times New Roman"/>
                <w:sz w:val="26"/>
                <w:szCs w:val="26"/>
                <w:lang w:eastAsia="ru-RU"/>
              </w:rPr>
              <w:t>ов</w:t>
            </w:r>
            <w:proofErr w:type="spellEnd"/>
            <w:r w:rsidRPr="009E2734">
              <w:rPr>
                <w:rFonts w:ascii="Times New Roman" w:eastAsia="Times New Roman" w:hAnsi="Times New Roman" w:cs="Times New Roman"/>
                <w:sz w:val="26"/>
                <w:szCs w:val="26"/>
                <w:lang w:eastAsia="ru-RU"/>
              </w:rPr>
              <w:t>):</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45"/>
        <w:gridCol w:w="4466"/>
        <w:gridCol w:w="1660"/>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9E2734">
              <w:rPr>
                <w:rFonts w:ascii="Times New Roman" w:eastAsia="Times New Roman" w:hAnsi="Times New Roman" w:cs="Times New Roman"/>
                <w:iCs/>
                <w:sz w:val="16"/>
                <w:szCs w:val="16"/>
                <w:lang w:eastAsia="ru-RU"/>
              </w:rPr>
              <w:t>(Фамилия, инициалы) (подпись)</w:t>
            </w:r>
            <w:bookmarkEnd w:id="11"/>
            <w:bookmarkEnd w:id="12"/>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w:t>
            </w:r>
            <w:r w:rsidRPr="009E2734">
              <w:rPr>
                <w:rFonts w:ascii="Times New Roman" w:eastAsia="Times New Roman" w:hAnsi="Times New Roman" w:cs="Times New Roman"/>
                <w:iCs/>
                <w:sz w:val="16"/>
                <w:szCs w:val="16"/>
                <w:lang w:val="en-US" w:eastAsia="ru-RU"/>
              </w:rPr>
              <w:t xml:space="preserve"> </w:t>
            </w:r>
            <w:r w:rsidRPr="009E2734">
              <w:rPr>
                <w:rFonts w:ascii="Times New Roman" w:eastAsia="Times New Roman" w:hAnsi="Times New Roman" w:cs="Times New Roman"/>
                <w:iCs/>
                <w:sz w:val="16"/>
                <w:szCs w:val="16"/>
                <w:lang w:eastAsia="ru-RU"/>
              </w:rPr>
              <w:t>(подпись)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lastRenderedPageBreak/>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проживающег</w:t>
      </w:r>
      <w:proofErr w:type="gramStart"/>
      <w:r w:rsidRPr="009E2734">
        <w:rPr>
          <w:rFonts w:ascii="Times New Roman" w:eastAsia="Times New Roman" w:hAnsi="Times New Roman" w:cs="Times New Roman"/>
          <w:sz w:val="24"/>
          <w:szCs w:val="24"/>
          <w:lang w:eastAsia="ru-RU"/>
        </w:rPr>
        <w:t>о(</w:t>
      </w:r>
      <w:proofErr w:type="gramEnd"/>
      <w:r w:rsidRPr="009E2734">
        <w:rPr>
          <w:rFonts w:ascii="Times New Roman" w:eastAsia="Times New Roman" w:hAnsi="Times New Roman" w:cs="Times New Roman"/>
          <w:sz w:val="24"/>
          <w:szCs w:val="24"/>
          <w:lang w:eastAsia="ru-RU"/>
        </w:rPr>
        <w:t xml:space="preserve">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                   </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rsidSect="008E30E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77" w:rsidRDefault="00443077" w:rsidP="009E2734">
      <w:pPr>
        <w:spacing w:after="0" w:line="240" w:lineRule="auto"/>
      </w:pPr>
      <w:r>
        <w:separator/>
      </w:r>
    </w:p>
  </w:endnote>
  <w:endnote w:type="continuationSeparator" w:id="0">
    <w:p w:rsidR="00443077" w:rsidRDefault="00443077"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77" w:rsidRDefault="00443077" w:rsidP="009E2734">
      <w:pPr>
        <w:spacing w:after="0" w:line="240" w:lineRule="auto"/>
      </w:pPr>
      <w:r>
        <w:separator/>
      </w:r>
    </w:p>
  </w:footnote>
  <w:footnote w:type="continuationSeparator" w:id="0">
    <w:p w:rsidR="00443077" w:rsidRDefault="00443077" w:rsidP="009E2734">
      <w:pPr>
        <w:spacing w:after="0" w:line="240" w:lineRule="auto"/>
      </w:pPr>
      <w:r>
        <w:continuationSeparator/>
      </w:r>
    </w:p>
  </w:footnote>
  <w:footnote w:id="1">
    <w:p w:rsidR="008E30ED" w:rsidRDefault="008E30ED" w:rsidP="009E2734">
      <w:pPr>
        <w:pStyle w:val="a3"/>
      </w:pPr>
      <w:r>
        <w:rPr>
          <w:rStyle w:val="a5"/>
        </w:rPr>
        <w:footnoteRef/>
      </w:r>
      <w:r>
        <w:t xml:space="preserve"> В случае</w:t>
      </w:r>
      <w:proofErr w:type="gramStart"/>
      <w:r>
        <w:t>,</w:t>
      </w:r>
      <w:proofErr w:type="gramEnd"/>
      <w:r>
        <w:t xml:space="preserve"> если Администрация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9"/>
    <w:rsid w:val="00033176"/>
    <w:rsid w:val="00082354"/>
    <w:rsid w:val="000F5DBC"/>
    <w:rsid w:val="00116DE4"/>
    <w:rsid w:val="002A2434"/>
    <w:rsid w:val="002C7B18"/>
    <w:rsid w:val="002F4A08"/>
    <w:rsid w:val="003640E9"/>
    <w:rsid w:val="003A1E7F"/>
    <w:rsid w:val="003B6D2C"/>
    <w:rsid w:val="003B70FA"/>
    <w:rsid w:val="00443077"/>
    <w:rsid w:val="00444DA9"/>
    <w:rsid w:val="0046775A"/>
    <w:rsid w:val="004B616B"/>
    <w:rsid w:val="005C604B"/>
    <w:rsid w:val="0081228E"/>
    <w:rsid w:val="008E30ED"/>
    <w:rsid w:val="0093220F"/>
    <w:rsid w:val="009E2734"/>
    <w:rsid w:val="00A37C61"/>
    <w:rsid w:val="00A4438C"/>
    <w:rsid w:val="00C4036B"/>
    <w:rsid w:val="00C77759"/>
    <w:rsid w:val="00E040C4"/>
    <w:rsid w:val="00E56099"/>
    <w:rsid w:val="00F368CA"/>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0C64E03C96FA4C8691AFDD0FD15E073796A6A07712B9F6C8571C69BFE2F187AE527FAD4DBBAmBL2H" TargetMode="External"/><Relationship Id="rId13" Type="http://schemas.openxmlformats.org/officeDocument/2006/relationships/hyperlink" Target="consultantplus://offline/ref=27E34323F9EA81A2EE406F49AC2D57B6D8739AD462D3B3D87CC32FBD9B892196F7C96D086B920FCCX5UB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3DB42A4918185EFF6298D0613616CBBDACD9F2D1C15D4D7000BB041B8961BB604B8F4486E2372CFFl2sBK" TargetMode="Externa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43386F809F4B078D5AAAC22AB63FE44DFAAF397557264A52C17466FE74A96ECF00113928531A6326r5EAG" TargetMode="External"/><Relationship Id="rId14" Type="http://schemas.openxmlformats.org/officeDocument/2006/relationships/hyperlink" Target="consultantplus://offline/ref=3DB42A4918185EFF6298D0613616CBBDACD9F2D1C15D4D7000BB041B8961BB604B8F4486E2372CF0l2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19152</Words>
  <Characters>109173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cp:lastModifiedBy>
  <cp:revision>4</cp:revision>
  <cp:lastPrinted>2020-04-08T09:32:00Z</cp:lastPrinted>
  <dcterms:created xsi:type="dcterms:W3CDTF">2020-04-07T10:47:00Z</dcterms:created>
  <dcterms:modified xsi:type="dcterms:W3CDTF">2020-04-13T07:01:00Z</dcterms:modified>
</cp:coreProperties>
</file>